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28" w:tblpY="1576"/>
        <w:tblW w:w="9694" w:type="dxa"/>
        <w:tblLayout w:type="fixed"/>
        <w:tblLook w:val="00A0"/>
      </w:tblPr>
      <w:tblGrid>
        <w:gridCol w:w="1582"/>
        <w:gridCol w:w="2327"/>
        <w:gridCol w:w="1834"/>
        <w:gridCol w:w="3951"/>
      </w:tblGrid>
      <w:tr w:rsidR="00E66216" w:rsidRPr="00CB0BEE" w:rsidTr="00DB0B9E">
        <w:trPr>
          <w:trHeight w:val="463"/>
        </w:trPr>
        <w:tc>
          <w:tcPr>
            <w:tcW w:w="1582" w:type="dxa"/>
            <w:tcBorders>
              <w:top w:val="single" w:sz="4" w:space="0" w:color="auto"/>
              <w:left w:val="single" w:sz="4" w:space="0" w:color="auto"/>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宋体" w:cs="宋体"/>
                <w:b/>
                <w:color w:val="000000"/>
                <w:kern w:val="0"/>
                <w:sz w:val="24"/>
                <w:szCs w:val="24"/>
              </w:rPr>
            </w:pPr>
            <w:r w:rsidRPr="00DB0B9E">
              <w:rPr>
                <w:rFonts w:ascii="宋体" w:hAnsi="宋体" w:cs="宋体" w:hint="eastAsia"/>
                <w:b/>
                <w:color w:val="000000"/>
                <w:kern w:val="0"/>
                <w:sz w:val="24"/>
                <w:szCs w:val="24"/>
              </w:rPr>
              <w:t>答辩人：</w:t>
            </w:r>
          </w:p>
        </w:tc>
        <w:tc>
          <w:tcPr>
            <w:tcW w:w="2327" w:type="dxa"/>
            <w:tcBorders>
              <w:top w:val="single" w:sz="4" w:space="0" w:color="auto"/>
              <w:left w:val="nil"/>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华文中宋" w:eastAsia="华文中宋" w:hAnsi="华文中宋" w:cs="宋体"/>
                <w:b/>
                <w:color w:val="000000"/>
                <w:kern w:val="0"/>
                <w:sz w:val="24"/>
                <w:szCs w:val="24"/>
              </w:rPr>
            </w:pPr>
            <w:r w:rsidRPr="00DB0B9E">
              <w:rPr>
                <w:rFonts w:ascii="宋体" w:hAnsi="宋体" w:cs="宋体" w:hint="eastAsia"/>
                <w:b/>
                <w:color w:val="000000"/>
                <w:kern w:val="0"/>
                <w:sz w:val="24"/>
                <w:szCs w:val="24"/>
              </w:rPr>
              <w:t xml:space="preserve">　</w:t>
            </w:r>
            <w:r w:rsidRPr="00DB0B9E">
              <w:rPr>
                <w:rFonts w:ascii="华文中宋" w:eastAsia="华文中宋" w:hAnsi="华文中宋" w:cs="宋体" w:hint="eastAsia"/>
                <w:color w:val="000000"/>
                <w:kern w:val="0"/>
                <w:sz w:val="24"/>
                <w:szCs w:val="24"/>
              </w:rPr>
              <w:t>陈臣</w:t>
            </w:r>
          </w:p>
        </w:tc>
        <w:tc>
          <w:tcPr>
            <w:tcW w:w="1834" w:type="dxa"/>
            <w:tcBorders>
              <w:top w:val="single" w:sz="4" w:space="0" w:color="auto"/>
              <w:left w:val="nil"/>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宋体" w:cs="宋体"/>
                <w:b/>
                <w:color w:val="000000"/>
                <w:kern w:val="0"/>
                <w:sz w:val="24"/>
                <w:szCs w:val="24"/>
              </w:rPr>
            </w:pPr>
            <w:r w:rsidRPr="00DB0B9E">
              <w:rPr>
                <w:rFonts w:ascii="宋体" w:hAnsi="宋体" w:cs="宋体" w:hint="eastAsia"/>
                <w:b/>
                <w:color w:val="000000"/>
                <w:kern w:val="0"/>
                <w:sz w:val="24"/>
                <w:szCs w:val="24"/>
              </w:rPr>
              <w:t>导</w:t>
            </w:r>
            <w:r w:rsidRPr="00DB0B9E">
              <w:rPr>
                <w:rFonts w:ascii="宋体" w:hAnsi="宋体" w:cs="宋体"/>
                <w:b/>
                <w:color w:val="000000"/>
                <w:kern w:val="0"/>
                <w:sz w:val="24"/>
                <w:szCs w:val="24"/>
              </w:rPr>
              <w:t xml:space="preserve">    </w:t>
            </w:r>
            <w:r w:rsidRPr="00DB0B9E">
              <w:rPr>
                <w:rFonts w:ascii="宋体" w:hAnsi="宋体" w:cs="宋体" w:hint="eastAsia"/>
                <w:b/>
                <w:color w:val="000000"/>
                <w:kern w:val="0"/>
                <w:sz w:val="24"/>
                <w:szCs w:val="24"/>
              </w:rPr>
              <w:t>师：</w:t>
            </w:r>
          </w:p>
        </w:tc>
        <w:tc>
          <w:tcPr>
            <w:tcW w:w="3951" w:type="dxa"/>
            <w:tcBorders>
              <w:top w:val="single" w:sz="4" w:space="0" w:color="auto"/>
              <w:left w:val="nil"/>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华文中宋" w:eastAsia="华文中宋" w:hAnsi="华文中宋" w:cs="宋体"/>
                <w:color w:val="000000"/>
                <w:kern w:val="0"/>
                <w:sz w:val="24"/>
                <w:szCs w:val="24"/>
              </w:rPr>
            </w:pPr>
            <w:r w:rsidRPr="00DB0B9E">
              <w:rPr>
                <w:rFonts w:ascii="华文中宋" w:eastAsia="华文中宋" w:hAnsi="华文中宋" w:cs="宋体" w:hint="eastAsia"/>
                <w:color w:val="000000"/>
                <w:kern w:val="0"/>
                <w:sz w:val="24"/>
                <w:szCs w:val="24"/>
              </w:rPr>
              <w:t xml:space="preserve">　胡定核</w:t>
            </w:r>
          </w:p>
        </w:tc>
      </w:tr>
      <w:tr w:rsidR="00E66216" w:rsidRPr="00CB0BEE" w:rsidTr="00DB0B9E">
        <w:trPr>
          <w:trHeight w:val="441"/>
        </w:trPr>
        <w:tc>
          <w:tcPr>
            <w:tcW w:w="1582" w:type="dxa"/>
            <w:tcBorders>
              <w:top w:val="nil"/>
              <w:left w:val="single" w:sz="4" w:space="0" w:color="auto"/>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宋体" w:cs="宋体"/>
                <w:b/>
                <w:color w:val="000000"/>
                <w:kern w:val="0"/>
                <w:sz w:val="24"/>
                <w:szCs w:val="24"/>
              </w:rPr>
            </w:pPr>
            <w:r w:rsidRPr="00DB0B9E">
              <w:rPr>
                <w:rFonts w:ascii="宋体" w:hAnsi="宋体" w:cs="宋体" w:hint="eastAsia"/>
                <w:b/>
                <w:color w:val="000000"/>
                <w:kern w:val="0"/>
                <w:sz w:val="24"/>
                <w:szCs w:val="24"/>
              </w:rPr>
              <w:t>专</w:t>
            </w:r>
            <w:r w:rsidRPr="00DB0B9E">
              <w:rPr>
                <w:rFonts w:ascii="宋体" w:hAnsi="宋体" w:cs="宋体"/>
                <w:b/>
                <w:color w:val="000000"/>
                <w:kern w:val="0"/>
                <w:sz w:val="24"/>
                <w:szCs w:val="24"/>
              </w:rPr>
              <w:t xml:space="preserve">  </w:t>
            </w:r>
            <w:r w:rsidRPr="00DB0B9E">
              <w:rPr>
                <w:rFonts w:ascii="宋体" w:hAnsi="宋体" w:cs="宋体" w:hint="eastAsia"/>
                <w:b/>
                <w:color w:val="000000"/>
                <w:kern w:val="0"/>
                <w:sz w:val="24"/>
                <w:szCs w:val="24"/>
              </w:rPr>
              <w:t>业：</w:t>
            </w:r>
          </w:p>
        </w:tc>
        <w:tc>
          <w:tcPr>
            <w:tcW w:w="2327" w:type="dxa"/>
            <w:tcBorders>
              <w:top w:val="nil"/>
              <w:left w:val="nil"/>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宋体" w:cs="宋体"/>
                <w:color w:val="000000"/>
                <w:kern w:val="0"/>
                <w:sz w:val="24"/>
                <w:szCs w:val="24"/>
              </w:rPr>
            </w:pPr>
            <w:r w:rsidRPr="00DB0B9E">
              <w:rPr>
                <w:rFonts w:ascii="华文中宋" w:eastAsia="华文中宋" w:hAnsi="华文中宋" w:cs="宋体" w:hint="eastAsia"/>
                <w:color w:val="000000"/>
                <w:kern w:val="0"/>
                <w:sz w:val="24"/>
                <w:szCs w:val="24"/>
              </w:rPr>
              <w:t>管理科学与工程</w:t>
            </w:r>
          </w:p>
        </w:tc>
        <w:tc>
          <w:tcPr>
            <w:tcW w:w="1834" w:type="dxa"/>
            <w:tcBorders>
              <w:top w:val="nil"/>
              <w:left w:val="nil"/>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宋体" w:cs="宋体"/>
                <w:b/>
                <w:color w:val="000000"/>
                <w:kern w:val="0"/>
                <w:sz w:val="24"/>
                <w:szCs w:val="24"/>
              </w:rPr>
            </w:pPr>
            <w:r w:rsidRPr="00DB0B9E">
              <w:rPr>
                <w:rFonts w:ascii="宋体" w:hAnsi="宋体" w:cs="宋体" w:hint="eastAsia"/>
                <w:b/>
                <w:color w:val="000000"/>
                <w:kern w:val="0"/>
                <w:sz w:val="24"/>
                <w:szCs w:val="24"/>
              </w:rPr>
              <w:t>研究方向：</w:t>
            </w:r>
          </w:p>
        </w:tc>
        <w:tc>
          <w:tcPr>
            <w:tcW w:w="3951" w:type="dxa"/>
            <w:tcBorders>
              <w:top w:val="nil"/>
              <w:left w:val="nil"/>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华文中宋" w:eastAsia="华文中宋" w:hAnsi="华文中宋" w:cs="宋体"/>
                <w:color w:val="000000"/>
                <w:kern w:val="0"/>
                <w:sz w:val="24"/>
                <w:szCs w:val="24"/>
              </w:rPr>
            </w:pPr>
            <w:r w:rsidRPr="00DB0B9E">
              <w:rPr>
                <w:rFonts w:ascii="华文中宋" w:eastAsia="华文中宋" w:hAnsi="华文中宋" w:cs="宋体" w:hint="eastAsia"/>
                <w:color w:val="000000"/>
                <w:kern w:val="0"/>
                <w:sz w:val="24"/>
                <w:szCs w:val="24"/>
              </w:rPr>
              <w:t xml:space="preserve">　鲁棒投资、多目标优化</w:t>
            </w:r>
          </w:p>
        </w:tc>
      </w:tr>
      <w:tr w:rsidR="00E66216" w:rsidRPr="00CB0BEE" w:rsidTr="00DB0B9E">
        <w:trPr>
          <w:trHeight w:val="480"/>
        </w:trPr>
        <w:tc>
          <w:tcPr>
            <w:tcW w:w="1582" w:type="dxa"/>
            <w:tcBorders>
              <w:top w:val="nil"/>
              <w:left w:val="single" w:sz="4" w:space="0" w:color="auto"/>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宋体" w:cs="宋体"/>
                <w:b/>
                <w:color w:val="000000"/>
                <w:kern w:val="0"/>
                <w:sz w:val="24"/>
                <w:szCs w:val="24"/>
              </w:rPr>
            </w:pPr>
            <w:r w:rsidRPr="00DB0B9E">
              <w:rPr>
                <w:rFonts w:ascii="宋体" w:hAnsi="宋体" w:cs="宋体" w:hint="eastAsia"/>
                <w:b/>
                <w:color w:val="000000"/>
                <w:kern w:val="0"/>
                <w:sz w:val="24"/>
                <w:szCs w:val="24"/>
              </w:rPr>
              <w:t>论文题目：</w:t>
            </w:r>
          </w:p>
        </w:tc>
        <w:tc>
          <w:tcPr>
            <w:tcW w:w="8112" w:type="dxa"/>
            <w:gridSpan w:val="3"/>
            <w:tcBorders>
              <w:top w:val="nil"/>
              <w:left w:val="nil"/>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left"/>
              <w:rPr>
                <w:rFonts w:ascii="宋体" w:cs="宋体"/>
                <w:b/>
                <w:color w:val="000000"/>
                <w:kern w:val="0"/>
                <w:sz w:val="24"/>
                <w:szCs w:val="24"/>
              </w:rPr>
            </w:pPr>
            <w:r w:rsidRPr="00DB0B9E">
              <w:rPr>
                <w:rFonts w:ascii="华文中宋" w:eastAsia="华文中宋" w:hAnsi="华文中宋" w:cs="宋体" w:hint="eastAsia"/>
                <w:color w:val="000000"/>
                <w:kern w:val="0"/>
                <w:sz w:val="24"/>
                <w:szCs w:val="24"/>
              </w:rPr>
              <w:t>基于集序关系的鲁棒多目标投资组合优化研究</w:t>
            </w:r>
          </w:p>
        </w:tc>
      </w:tr>
      <w:tr w:rsidR="00E66216" w:rsidRPr="00CB0BEE" w:rsidTr="000F33B2">
        <w:trPr>
          <w:trHeight w:val="704"/>
        </w:trPr>
        <w:tc>
          <w:tcPr>
            <w:tcW w:w="9694" w:type="dxa"/>
            <w:gridSpan w:val="4"/>
            <w:tcBorders>
              <w:top w:val="single" w:sz="4" w:space="0" w:color="auto"/>
              <w:left w:val="single" w:sz="4" w:space="0" w:color="auto"/>
              <w:bottom w:val="single" w:sz="4" w:space="0" w:color="auto"/>
              <w:right w:val="single" w:sz="4" w:space="0" w:color="auto"/>
            </w:tcBorders>
            <w:noWrap/>
            <w:vAlign w:val="center"/>
          </w:tcPr>
          <w:p w:rsidR="00E66216" w:rsidRPr="00DB0B9E" w:rsidRDefault="00E66216" w:rsidP="00DB0B9E">
            <w:pPr>
              <w:widowControl/>
              <w:adjustRightInd w:val="0"/>
              <w:snapToGrid w:val="0"/>
              <w:spacing w:line="320" w:lineRule="exact"/>
              <w:jc w:val="center"/>
              <w:rPr>
                <w:rFonts w:ascii="宋体" w:cs="宋体"/>
                <w:b/>
                <w:color w:val="000000"/>
                <w:kern w:val="0"/>
                <w:sz w:val="24"/>
                <w:szCs w:val="24"/>
              </w:rPr>
            </w:pPr>
            <w:r w:rsidRPr="00DB0B9E">
              <w:rPr>
                <w:rFonts w:ascii="宋体" w:hAnsi="宋体" w:cs="宋体" w:hint="eastAsia"/>
                <w:b/>
                <w:color w:val="000000"/>
                <w:kern w:val="0"/>
                <w:sz w:val="24"/>
                <w:szCs w:val="24"/>
              </w:rPr>
              <w:t>摘</w:t>
            </w:r>
            <w:r w:rsidRPr="00DB0B9E">
              <w:rPr>
                <w:rFonts w:ascii="宋体" w:hAnsi="宋体" w:cs="宋体"/>
                <w:b/>
                <w:color w:val="000000"/>
                <w:kern w:val="0"/>
                <w:sz w:val="24"/>
                <w:szCs w:val="24"/>
              </w:rPr>
              <w:t xml:space="preserve">        </w:t>
            </w:r>
            <w:r w:rsidRPr="00DB0B9E">
              <w:rPr>
                <w:rFonts w:ascii="宋体" w:hAnsi="宋体" w:cs="宋体" w:hint="eastAsia"/>
                <w:b/>
                <w:color w:val="000000"/>
                <w:kern w:val="0"/>
                <w:sz w:val="24"/>
                <w:szCs w:val="24"/>
              </w:rPr>
              <w:t>要</w:t>
            </w:r>
          </w:p>
        </w:tc>
      </w:tr>
      <w:tr w:rsidR="00E66216" w:rsidRPr="00CB0BEE" w:rsidTr="000F33B2">
        <w:trPr>
          <w:trHeight w:val="704"/>
        </w:trPr>
        <w:tc>
          <w:tcPr>
            <w:tcW w:w="9694" w:type="dxa"/>
            <w:gridSpan w:val="4"/>
            <w:tcBorders>
              <w:top w:val="single" w:sz="4" w:space="0" w:color="auto"/>
              <w:left w:val="single" w:sz="4" w:space="0" w:color="auto"/>
              <w:bottom w:val="single" w:sz="4" w:space="0" w:color="auto"/>
              <w:right w:val="single" w:sz="4" w:space="0" w:color="auto"/>
            </w:tcBorders>
            <w:noWrap/>
            <w:vAlign w:val="center"/>
          </w:tcPr>
          <w:p w:rsidR="00E66216" w:rsidRPr="00776AA6" w:rsidRDefault="00E66216" w:rsidP="000F33B2">
            <w:pPr>
              <w:widowControl/>
              <w:rPr>
                <w:rFonts w:ascii="宋体" w:cs="宋体"/>
                <w:color w:val="000000"/>
                <w:kern w:val="0"/>
                <w:sz w:val="24"/>
                <w:szCs w:val="24"/>
              </w:rPr>
            </w:pPr>
            <w:r w:rsidRPr="00776AA6">
              <w:rPr>
                <w:rFonts w:ascii="宋体" w:hAnsi="宋体" w:cs="宋体" w:hint="eastAsia"/>
                <w:color w:val="000000"/>
                <w:kern w:val="0"/>
                <w:sz w:val="24"/>
                <w:szCs w:val="24"/>
              </w:rPr>
              <w:t>（要求：字数</w:t>
            </w:r>
            <w:r>
              <w:rPr>
                <w:rFonts w:ascii="宋体" w:hAnsi="宋体" w:cs="宋体"/>
                <w:color w:val="000000"/>
                <w:kern w:val="0"/>
                <w:sz w:val="24"/>
                <w:szCs w:val="24"/>
              </w:rPr>
              <w:t>800</w:t>
            </w:r>
            <w:r w:rsidRPr="00776AA6">
              <w:rPr>
                <w:rFonts w:ascii="宋体" w:hAnsi="宋体" w:cs="宋体"/>
                <w:color w:val="000000"/>
                <w:kern w:val="0"/>
                <w:sz w:val="24"/>
                <w:szCs w:val="24"/>
              </w:rPr>
              <w:t>~</w:t>
            </w:r>
            <w:r>
              <w:rPr>
                <w:rFonts w:ascii="宋体" w:hAnsi="宋体" w:cs="宋体"/>
                <w:color w:val="000000"/>
                <w:kern w:val="0"/>
                <w:sz w:val="24"/>
                <w:szCs w:val="24"/>
              </w:rPr>
              <w:t>1000</w:t>
            </w:r>
            <w:r w:rsidRPr="00776AA6">
              <w:rPr>
                <w:rFonts w:ascii="宋体" w:hAnsi="宋体" w:cs="宋体" w:hint="eastAsia"/>
                <w:color w:val="000000"/>
                <w:kern w:val="0"/>
                <w:sz w:val="24"/>
                <w:szCs w:val="24"/>
              </w:rPr>
              <w:t>，字体小四，行间距统一</w:t>
            </w:r>
            <w:r>
              <w:rPr>
                <w:rFonts w:ascii="宋体" w:cs="宋体"/>
                <w:color w:val="000000"/>
                <w:kern w:val="0"/>
                <w:sz w:val="24"/>
                <w:szCs w:val="24"/>
              </w:rPr>
              <w:t>,</w:t>
            </w:r>
            <w:r>
              <w:rPr>
                <w:rFonts w:ascii="宋体" w:hAnsi="宋体" w:cs="宋体" w:hint="eastAsia"/>
                <w:color w:val="000000"/>
                <w:kern w:val="0"/>
                <w:sz w:val="24"/>
                <w:szCs w:val="24"/>
              </w:rPr>
              <w:t>尽量控制在一页</w:t>
            </w:r>
            <w:r w:rsidRPr="00776AA6">
              <w:rPr>
                <w:rFonts w:ascii="宋体" w:hAnsi="宋体" w:cs="宋体" w:hint="eastAsia"/>
                <w:color w:val="000000"/>
                <w:kern w:val="0"/>
                <w:sz w:val="24"/>
                <w:szCs w:val="24"/>
              </w:rPr>
              <w:t>）</w:t>
            </w:r>
          </w:p>
          <w:p w:rsidR="00E66216" w:rsidRPr="00DB0B9E" w:rsidRDefault="00E66216" w:rsidP="00E66216">
            <w:pPr>
              <w:spacing w:line="320" w:lineRule="exact"/>
              <w:ind w:firstLineChars="200" w:firstLine="31680"/>
              <w:rPr>
                <w:rFonts w:ascii="楷体_GB2312" w:eastAsia="楷体_GB2312" w:hAnsi="宋体"/>
                <w:sz w:val="24"/>
              </w:rPr>
            </w:pPr>
            <w:r w:rsidRPr="00DB0B9E">
              <w:rPr>
                <w:rFonts w:ascii="楷体_GB2312" w:eastAsia="楷体_GB2312" w:hAnsi="宋体" w:hint="eastAsia"/>
                <w:sz w:val="24"/>
              </w:rPr>
              <w:t>本研究以鲁棒优化方法、集序关系理论和多目标优化理论为基础，以多目标粒子群优化算法为工具，以</w:t>
            </w:r>
            <w:r w:rsidRPr="00DB0B9E">
              <w:rPr>
                <w:rFonts w:ascii="楷体_GB2312" w:eastAsia="楷体_GB2312" w:hAnsi="宋体"/>
                <w:sz w:val="24"/>
              </w:rPr>
              <w:t>Markowitz</w:t>
            </w:r>
            <w:r w:rsidRPr="00DB0B9E">
              <w:rPr>
                <w:rFonts w:ascii="楷体_GB2312" w:eastAsia="楷体_GB2312" w:hAnsi="宋体" w:hint="eastAsia"/>
                <w:sz w:val="24"/>
              </w:rPr>
              <w:t>经典投资组合优化模型为出发点，以我国股票市场数据为实例，对投资组合优化问题进行研究，并提出股票市场连续短期预测下的具有不同风险偏好的鲁棒投资组合策略。</w:t>
            </w:r>
          </w:p>
          <w:p w:rsidR="00E66216" w:rsidRPr="00DB0B9E" w:rsidRDefault="00E66216" w:rsidP="00E66216">
            <w:pPr>
              <w:spacing w:line="320" w:lineRule="exact"/>
              <w:ind w:firstLineChars="200" w:firstLine="31680"/>
              <w:rPr>
                <w:rFonts w:ascii="楷体_GB2312" w:eastAsia="楷体_GB2312" w:hAnsi="宋体"/>
                <w:sz w:val="24"/>
              </w:rPr>
            </w:pPr>
            <w:r w:rsidRPr="00DB0B9E">
              <w:rPr>
                <w:rFonts w:ascii="楷体_GB2312" w:eastAsia="楷体_GB2312" w:hAnsi="宋体" w:hint="eastAsia"/>
                <w:sz w:val="24"/>
              </w:rPr>
              <w:t>首先，从经典模型输入参数的不确定性入手，借助鲁棒优化方法和多目标优化方法，将作为组合收益测度的期望均值和作为风险测度的方差作为投资组合模型的两个优化目标，并考虑各目标中不确定参数的鲁棒化，以构建不确定参数环境下的鲁棒多目标投资组合优化模型。同时，鉴于该鲁棒投资组合模型过于保守，因此，引入集值优化领域中的集序关系理论，探究了不确定参数在最坏情况、最好情况和交替情况下的各种可能实现，并建立了与之相应的鲁棒多目标投资组合模型，分析了各种模型的鲁棒有效解</w:t>
            </w:r>
            <w:r w:rsidRPr="00DB0B9E">
              <w:rPr>
                <w:rFonts w:ascii="楷体_GB2312" w:eastAsia="楷体_GB2312" w:hAnsi="宋体"/>
                <w:sz w:val="24"/>
              </w:rPr>
              <w:t>(</w:t>
            </w:r>
            <w:r w:rsidRPr="00DB0B9E">
              <w:rPr>
                <w:rFonts w:ascii="楷体_GB2312" w:eastAsia="楷体_GB2312" w:hAnsi="宋体" w:hint="eastAsia"/>
                <w:sz w:val="24"/>
              </w:rPr>
              <w:t>上集鲁棒有效解、下集鲁棒有效解和交替鲁棒有效</w:t>
            </w:r>
            <w:r w:rsidRPr="00DB0B9E">
              <w:rPr>
                <w:rFonts w:ascii="楷体_GB2312" w:eastAsia="楷体_GB2312" w:hAnsi="宋体"/>
                <w:sz w:val="24"/>
              </w:rPr>
              <w:t>)</w:t>
            </w:r>
            <w:r w:rsidRPr="00DB0B9E">
              <w:rPr>
                <w:rFonts w:ascii="楷体_GB2312" w:eastAsia="楷体_GB2312" w:hAnsi="宋体" w:hint="eastAsia"/>
                <w:sz w:val="24"/>
              </w:rPr>
              <w:t>性质、风险偏好和组合性能。通过实证</w:t>
            </w:r>
            <w:r w:rsidRPr="00DB0B9E">
              <w:rPr>
                <w:rFonts w:ascii="楷体_GB2312" w:eastAsia="楷体_GB2312" w:hAnsi="宋体"/>
                <w:sz w:val="24"/>
              </w:rPr>
              <w:t>(</w:t>
            </w:r>
            <w:r w:rsidRPr="00DB0B9E">
              <w:rPr>
                <w:rFonts w:ascii="楷体_GB2312" w:eastAsia="楷体_GB2312" w:hAnsi="宋体" w:hint="eastAsia"/>
                <w:sz w:val="24"/>
              </w:rPr>
              <w:t>其中，依据市场运动状态将其划分为三个连续短期</w:t>
            </w:r>
            <w:r w:rsidRPr="00DB0B9E">
              <w:rPr>
                <w:rFonts w:ascii="楷体_GB2312" w:eastAsia="楷体_GB2312" w:hAnsi="宋体"/>
                <w:sz w:val="24"/>
              </w:rPr>
              <w:t>)</w:t>
            </w:r>
            <w:r w:rsidRPr="00DB0B9E">
              <w:rPr>
                <w:rFonts w:ascii="楷体_GB2312" w:eastAsia="楷体_GB2312" w:hAnsi="宋体" w:hint="eastAsia"/>
                <w:sz w:val="24"/>
              </w:rPr>
              <w:t>，研究结果表明，经典模型的有效前沿总是位于上集鲁棒有效解与下集鲁棒有效解的有效前沿之间，且下集鲁棒有效解前沿总是在可行域左上边界，而上集鲁棒有效解前沿在可行域右下边界；还有，上集</w:t>
            </w:r>
            <w:r w:rsidRPr="00DB0B9E">
              <w:rPr>
                <w:rFonts w:ascii="楷体_GB2312" w:eastAsia="楷体_GB2312" w:hAnsi="宋体"/>
                <w:sz w:val="24"/>
              </w:rPr>
              <w:t>/</w:t>
            </w:r>
            <w:r w:rsidRPr="00DB0B9E">
              <w:rPr>
                <w:rFonts w:ascii="楷体_GB2312" w:eastAsia="楷体_GB2312" w:hAnsi="宋体" w:hint="eastAsia"/>
                <w:sz w:val="24"/>
              </w:rPr>
              <w:t>下集</w:t>
            </w:r>
            <w:r w:rsidRPr="00DB0B9E">
              <w:rPr>
                <w:rFonts w:ascii="楷体_GB2312" w:eastAsia="楷体_GB2312" w:hAnsi="宋体"/>
                <w:sz w:val="24"/>
              </w:rPr>
              <w:t>/</w:t>
            </w:r>
            <w:r w:rsidRPr="00DB0B9E">
              <w:rPr>
                <w:rFonts w:ascii="楷体_GB2312" w:eastAsia="楷体_GB2312" w:hAnsi="宋体" w:hint="eastAsia"/>
                <w:sz w:val="24"/>
              </w:rPr>
              <w:t>交替鲁棒有效性损失与资产规模和椭球不确定集尺度因子呈负相关关系、与椭球不确定集半径呈正相关关系，</w:t>
            </w:r>
            <w:r w:rsidRPr="00DB0B9E">
              <w:rPr>
                <w:rFonts w:ascii="楷体_GB2312" w:eastAsia="楷体_GB2312" w:hAnsi="宋体"/>
                <w:sz w:val="24"/>
              </w:rPr>
              <w:t>(</w:t>
            </w:r>
            <w:r w:rsidRPr="00DB0B9E">
              <w:rPr>
                <w:rFonts w:ascii="楷体_GB2312" w:eastAsia="楷体_GB2312" w:hAnsi="宋体" w:hint="eastAsia"/>
                <w:sz w:val="24"/>
              </w:rPr>
              <w:t>鲁棒</w:t>
            </w:r>
            <w:r w:rsidRPr="00DB0B9E">
              <w:rPr>
                <w:rFonts w:ascii="楷体_GB2312" w:eastAsia="楷体_GB2312" w:hAnsi="宋体"/>
                <w:sz w:val="24"/>
              </w:rPr>
              <w:t>)</w:t>
            </w:r>
            <w:r w:rsidRPr="00DB0B9E">
              <w:rPr>
                <w:rFonts w:ascii="楷体_GB2312" w:eastAsia="楷体_GB2312" w:hAnsi="宋体" w:hint="eastAsia"/>
                <w:sz w:val="24"/>
              </w:rPr>
              <w:t>有效前沿长度与椭球半径呈负相关关系、与尺度因子呈正相关关系。这些新的发现为深入研究椭球不确定集的构建、组合资产规模的设置与投资组合性能的关系提供了依据。另外，实证分析显示，在仅考虑参数不确定性情形下基于集序关系的鲁棒投资组合提供的鲁棒有效解策略在各股票市场短期</w:t>
            </w:r>
            <w:r w:rsidRPr="00DB0B9E">
              <w:rPr>
                <w:rFonts w:ascii="楷体_GB2312" w:eastAsia="楷体_GB2312" w:hAnsi="宋体"/>
                <w:sz w:val="24"/>
              </w:rPr>
              <w:t>(</w:t>
            </w:r>
            <w:r w:rsidRPr="00DB0B9E">
              <w:rPr>
                <w:rFonts w:ascii="楷体_GB2312" w:eastAsia="楷体_GB2312" w:hAnsi="宋体" w:hint="eastAsia"/>
                <w:sz w:val="24"/>
              </w:rPr>
              <w:t>子期</w:t>
            </w:r>
            <w:r w:rsidRPr="00DB0B9E">
              <w:rPr>
                <w:rFonts w:ascii="楷体_GB2312" w:eastAsia="楷体_GB2312" w:hAnsi="宋体"/>
                <w:sz w:val="24"/>
              </w:rPr>
              <w:t>)</w:t>
            </w:r>
            <w:r w:rsidRPr="00DB0B9E">
              <w:rPr>
                <w:rFonts w:ascii="楷体_GB2312" w:eastAsia="楷体_GB2312" w:hAnsi="宋体" w:hint="eastAsia"/>
                <w:sz w:val="24"/>
              </w:rPr>
              <w:t>内其组合表现相差甚大，这为投资者在不同市场运动状态下提供了合适的组合策略。</w:t>
            </w:r>
          </w:p>
          <w:p w:rsidR="00E66216" w:rsidRPr="00DB0B9E" w:rsidRDefault="00E66216" w:rsidP="00E66216">
            <w:pPr>
              <w:spacing w:line="320" w:lineRule="exact"/>
              <w:ind w:firstLineChars="200" w:firstLine="31680"/>
              <w:rPr>
                <w:rFonts w:ascii="楷体_GB2312" w:eastAsia="楷体_GB2312" w:hAnsi="宋体"/>
                <w:sz w:val="24"/>
              </w:rPr>
            </w:pPr>
            <w:r w:rsidRPr="00DB0B9E">
              <w:rPr>
                <w:rFonts w:ascii="楷体_GB2312" w:eastAsia="楷体_GB2312" w:hAnsi="宋体" w:hint="eastAsia"/>
                <w:sz w:val="24"/>
              </w:rPr>
              <w:t>其次，本文在此之前构建的鲁棒投资组合优化模型没有考虑组合收益的分布特性，因此，为了放宽经典模型关于收益服从正态分布的假设，在鲁棒投资组合模型体系中引入了组合收益的高阶矩，并由此建立了含高阶矩的鲁棒多目标投资组合优化模型，通过同样的实证数据检验了各模型的鲁棒有效解策略。结果显示：总体上讲，将高阶矩引入到鲁棒多目标投资组合模型和经典模型中都能改善投资组合性能，这充分证实了高阶矩对投资组合的重要性。此外，在鲁棒有效解组合性能方面，其结论与仅考虑参数不确定性情形并不完全一样，具体地讲，在上升期采用下集鲁棒有效解策略是明智的，在衰退期和稳定期交替鲁</w:t>
            </w:r>
            <w:r>
              <w:rPr>
                <w:rFonts w:ascii="楷体_GB2312" w:eastAsia="楷体_GB2312" w:hAnsi="宋体" w:hint="eastAsia"/>
                <w:sz w:val="24"/>
              </w:rPr>
              <w:t>棒有效解策略是最值得信赖的；而上集鲁棒有效解在各期依旧表现不佳</w:t>
            </w:r>
            <w:r w:rsidRPr="00DB0B9E">
              <w:rPr>
                <w:rFonts w:ascii="楷体_GB2312" w:eastAsia="楷体_GB2312" w:hAnsi="宋体" w:hint="eastAsia"/>
                <w:sz w:val="24"/>
              </w:rPr>
              <w:t>。</w:t>
            </w:r>
          </w:p>
          <w:p w:rsidR="00E66216" w:rsidRPr="00DB0B9E" w:rsidRDefault="00E66216" w:rsidP="00E66216">
            <w:pPr>
              <w:spacing w:line="320" w:lineRule="exact"/>
              <w:ind w:firstLineChars="200" w:firstLine="31680"/>
              <w:rPr>
                <w:rFonts w:ascii="楷体_GB2312" w:eastAsia="楷体_GB2312" w:hAnsi="宋体"/>
                <w:sz w:val="24"/>
              </w:rPr>
            </w:pPr>
            <w:r w:rsidRPr="00DB0B9E">
              <w:rPr>
                <w:rFonts w:ascii="楷体_GB2312" w:eastAsia="楷体_GB2312" w:hAnsi="宋体" w:hint="eastAsia"/>
                <w:sz w:val="24"/>
              </w:rPr>
              <w:t>再次，本文所探究的投资组合优化模型不仅引入了基数约束条件，而且资产规模也较大。针对这些非凸、非光滑的优化模型，传统线性规划方法难以应对，因此，多目标粒子群</w:t>
            </w:r>
            <w:r w:rsidRPr="00DB0B9E">
              <w:rPr>
                <w:rFonts w:ascii="楷体_GB2312" w:eastAsia="楷体_GB2312" w:hAnsi="宋体"/>
                <w:sz w:val="24"/>
              </w:rPr>
              <w:t xml:space="preserve"> (MOPSO) </w:t>
            </w:r>
            <w:r w:rsidRPr="00DB0B9E">
              <w:rPr>
                <w:rFonts w:ascii="楷体_GB2312" w:eastAsia="楷体_GB2312" w:hAnsi="宋体" w:hint="eastAsia"/>
                <w:sz w:val="24"/>
              </w:rPr>
              <w:t>算法被引入。为了验证该算法的有效性和高效性，</w:t>
            </w:r>
            <w:r w:rsidRPr="00DB0B9E">
              <w:rPr>
                <w:rFonts w:ascii="楷体_GB2312" w:eastAsia="楷体_GB2312" w:hAnsi="宋体"/>
                <w:sz w:val="24"/>
              </w:rPr>
              <w:t>NSGA-II</w:t>
            </w:r>
            <w:r w:rsidRPr="00DB0B9E">
              <w:rPr>
                <w:rFonts w:ascii="楷体_GB2312" w:eastAsia="楷体_GB2312" w:hAnsi="宋体" w:hint="eastAsia"/>
                <w:sz w:val="24"/>
              </w:rPr>
              <w:t>和</w:t>
            </w:r>
            <w:r w:rsidRPr="00DB0B9E">
              <w:rPr>
                <w:rFonts w:ascii="楷体_GB2312" w:eastAsia="楷体_GB2312" w:hAnsi="宋体"/>
                <w:sz w:val="24"/>
              </w:rPr>
              <w:t>SPEA2</w:t>
            </w:r>
            <w:r w:rsidRPr="00DB0B9E">
              <w:rPr>
                <w:rFonts w:ascii="楷体_GB2312" w:eastAsia="楷体_GB2312" w:hAnsi="宋体" w:hint="eastAsia"/>
                <w:sz w:val="24"/>
              </w:rPr>
              <w:t>被用作对比算法，并使用相同的实证数据进行比较，结果显示：</w:t>
            </w:r>
            <w:r w:rsidRPr="00DB0B9E">
              <w:rPr>
                <w:rFonts w:ascii="楷体_GB2312" w:eastAsia="楷体_GB2312" w:hAnsi="宋体"/>
                <w:sz w:val="24"/>
              </w:rPr>
              <w:t>MOPSO</w:t>
            </w:r>
            <w:r w:rsidRPr="00DB0B9E">
              <w:rPr>
                <w:rFonts w:ascii="楷体_GB2312" w:eastAsia="楷体_GB2312" w:hAnsi="宋体" w:hint="eastAsia"/>
                <w:sz w:val="24"/>
              </w:rPr>
              <w:t>算法在各种模型上不仅计算性能均比另外两个算法好，且最优解质量也远远领先。这表明</w:t>
            </w:r>
            <w:r w:rsidRPr="00DB0B9E">
              <w:rPr>
                <w:rFonts w:ascii="楷体_GB2312" w:eastAsia="楷体_GB2312" w:hAnsi="宋体"/>
                <w:sz w:val="24"/>
              </w:rPr>
              <w:t>MOPSO</w:t>
            </w:r>
            <w:r w:rsidRPr="00DB0B9E">
              <w:rPr>
                <w:rFonts w:ascii="楷体_GB2312" w:eastAsia="楷体_GB2312" w:hAnsi="宋体" w:hint="eastAsia"/>
                <w:sz w:val="24"/>
              </w:rPr>
              <w:t>算法非常适合求解投资组合优化问题。</w:t>
            </w:r>
          </w:p>
        </w:tc>
      </w:tr>
    </w:tbl>
    <w:p w:rsidR="00E66216" w:rsidRPr="00F94709" w:rsidRDefault="00E66216" w:rsidP="00F95865">
      <w:pPr>
        <w:rPr>
          <w:sz w:val="24"/>
          <w:szCs w:val="24"/>
        </w:rPr>
      </w:pPr>
    </w:p>
    <w:sectPr w:rsidR="00E66216" w:rsidRPr="00F94709" w:rsidSect="000C309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216" w:rsidRDefault="00E66216" w:rsidP="00BA5512">
      <w:r>
        <w:separator/>
      </w:r>
    </w:p>
  </w:endnote>
  <w:endnote w:type="continuationSeparator" w:id="0">
    <w:p w:rsidR="00E66216" w:rsidRDefault="00E66216" w:rsidP="00BA55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16" w:rsidRDefault="00E662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16" w:rsidRDefault="00E662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16" w:rsidRDefault="00E66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216" w:rsidRDefault="00E66216" w:rsidP="00BA5512">
      <w:r>
        <w:separator/>
      </w:r>
    </w:p>
  </w:footnote>
  <w:footnote w:type="continuationSeparator" w:id="0">
    <w:p w:rsidR="00E66216" w:rsidRDefault="00E66216" w:rsidP="00BA5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16" w:rsidRDefault="00E662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16" w:rsidRDefault="00E66216" w:rsidP="00B8040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16" w:rsidRDefault="00E662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766"/>
    <w:rsid w:val="000561F3"/>
    <w:rsid w:val="000C309C"/>
    <w:rsid w:val="000F33B2"/>
    <w:rsid w:val="0014433F"/>
    <w:rsid w:val="001A5243"/>
    <w:rsid w:val="001B350E"/>
    <w:rsid w:val="003A748B"/>
    <w:rsid w:val="003D17E1"/>
    <w:rsid w:val="003D4482"/>
    <w:rsid w:val="003F7766"/>
    <w:rsid w:val="00445EA3"/>
    <w:rsid w:val="00567FA6"/>
    <w:rsid w:val="00671515"/>
    <w:rsid w:val="006940BD"/>
    <w:rsid w:val="006D7BC5"/>
    <w:rsid w:val="007161AA"/>
    <w:rsid w:val="00717274"/>
    <w:rsid w:val="00776AA6"/>
    <w:rsid w:val="00874557"/>
    <w:rsid w:val="008B6443"/>
    <w:rsid w:val="008B7329"/>
    <w:rsid w:val="00953245"/>
    <w:rsid w:val="009F37AD"/>
    <w:rsid w:val="00A26486"/>
    <w:rsid w:val="00B80403"/>
    <w:rsid w:val="00BA5512"/>
    <w:rsid w:val="00CA3673"/>
    <w:rsid w:val="00CB0BEE"/>
    <w:rsid w:val="00D01C3B"/>
    <w:rsid w:val="00DA647F"/>
    <w:rsid w:val="00DB0B9E"/>
    <w:rsid w:val="00E54677"/>
    <w:rsid w:val="00E66216"/>
    <w:rsid w:val="00F14DF6"/>
    <w:rsid w:val="00F94709"/>
    <w:rsid w:val="00F95865"/>
    <w:rsid w:val="00FB74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09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55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5512"/>
    <w:rPr>
      <w:rFonts w:cs="Times New Roman"/>
      <w:sz w:val="18"/>
      <w:szCs w:val="18"/>
    </w:rPr>
  </w:style>
  <w:style w:type="paragraph" w:styleId="Footer">
    <w:name w:val="footer"/>
    <w:basedOn w:val="Normal"/>
    <w:link w:val="FooterChar"/>
    <w:uiPriority w:val="99"/>
    <w:semiHidden/>
    <w:rsid w:val="00BA55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551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30488804">
      <w:marLeft w:val="0"/>
      <w:marRight w:val="0"/>
      <w:marTop w:val="0"/>
      <w:marBottom w:val="0"/>
      <w:divBdr>
        <w:top w:val="none" w:sz="0" w:space="0" w:color="auto"/>
        <w:left w:val="none" w:sz="0" w:space="0" w:color="auto"/>
        <w:bottom w:val="none" w:sz="0" w:space="0" w:color="auto"/>
        <w:right w:val="none" w:sz="0" w:space="0" w:color="auto"/>
      </w:divBdr>
    </w:div>
    <w:div w:id="830488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Pages>
  <Words>207</Words>
  <Characters>1184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22</cp:revision>
  <cp:lastPrinted>2017-01-06T07:14:00Z</cp:lastPrinted>
  <dcterms:created xsi:type="dcterms:W3CDTF">2017-01-06T06:51:00Z</dcterms:created>
  <dcterms:modified xsi:type="dcterms:W3CDTF">2018-05-16T07:24:00Z</dcterms:modified>
</cp:coreProperties>
</file>